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A0A" w:rsidRDefault="00D21A0A" w:rsidP="00282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92124" w:rsidRDefault="00392124" w:rsidP="00282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3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826"/>
        <w:gridCol w:w="2976"/>
        <w:gridCol w:w="1083"/>
        <w:gridCol w:w="1417"/>
        <w:gridCol w:w="2147"/>
        <w:gridCol w:w="2168"/>
        <w:gridCol w:w="1267"/>
        <w:gridCol w:w="1247"/>
      </w:tblGrid>
      <w:tr w:rsidR="00E10D3B" w:rsidRPr="00547D96" w:rsidTr="00D516B4">
        <w:trPr>
          <w:trHeight w:val="700"/>
          <w:tblHeader/>
          <w:jc w:val="center"/>
        </w:trPr>
        <w:tc>
          <w:tcPr>
            <w:tcW w:w="1173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</w:t>
            </w:r>
          </w:p>
        </w:tc>
        <w:tc>
          <w:tcPr>
            <w:tcW w:w="18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 Detay</w:t>
            </w:r>
          </w:p>
        </w:tc>
        <w:tc>
          <w:tcPr>
            <w:tcW w:w="297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Beklentiler</w:t>
            </w:r>
          </w:p>
        </w:tc>
        <w:tc>
          <w:tcPr>
            <w:tcW w:w="108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Yasal Gereklilik mi?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Karışılanması</w:t>
            </w:r>
            <w:proofErr w:type="spellEnd"/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şart mı?</w:t>
            </w:r>
          </w:p>
        </w:tc>
        <w:tc>
          <w:tcPr>
            <w:tcW w:w="214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Mevcut durum</w:t>
            </w:r>
          </w:p>
        </w:tc>
        <w:tc>
          <w:tcPr>
            <w:tcW w:w="21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Alınması gereken aksiyon</w:t>
            </w:r>
          </w:p>
        </w:tc>
        <w:tc>
          <w:tcPr>
            <w:tcW w:w="12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Sorumlu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Termin</w:t>
            </w:r>
            <w:proofErr w:type="spellEnd"/>
          </w:p>
        </w:tc>
      </w:tr>
      <w:tr w:rsidR="00E10D3B" w:rsidRPr="00547D96" w:rsidTr="00D516B4">
        <w:trPr>
          <w:trHeight w:val="1380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Bakanlığı</w:t>
            </w: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Bakanlığı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hazırlanan ilgili tüm kanun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ve yönetmeliklere uyum sağlanması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takibi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Gazete aracılığıyla yapılmaktadır.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1380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Yükseköğretim Başkanlığı (YÖK)</w:t>
            </w: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Bölümü’nün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yükseköğretim faaliyetlerinin devamlılığı adına YÖK bünyesindeki yükümlülüklerinin yerine getirilmesi,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ve duyuruların takibi gerek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Gazete gerek üst yazılar gerekse YÖK’ün resmi web sayfası aracılığıyla yapılmaktadır.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655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Yükseköğretim Kalite Kurulu Başkanlığı (YÖKAK)</w:t>
            </w: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Üniversitenin kalite güvence sistemi faaliyetlerinin devamlılığı adına YÖKAK bünyesindeki yükümlülüklerinin yerine getirilmesi,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Kalite Koordinatörlüğü tarafından mevzuat ve duyuruların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takibi,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gerek Resmi Gazete gerek üst yazılar gerekse </w:t>
            </w:r>
            <w:proofErr w:type="spell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YÖKAK’ın</w:t>
            </w:r>
            <w:proofErr w:type="spell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resmi web sayfası aracılığıyla yapılmaktadır.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Kalite Koor.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1380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Yasal Otorite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İzmir Valiliği</w:t>
            </w: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gerekliliklerin yerine getirilmesi.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uyum sürecinde irtibatta olunmasının sağlanması,</w:t>
            </w:r>
          </w:p>
          <w:p w:rsidR="00E10D3B" w:rsidRPr="00547D96" w:rsidRDefault="00E10D3B" w:rsidP="00D516B4">
            <w:pPr>
              <w:pStyle w:val="ListeParagraf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ve duyuruların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takibi,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gerek Resmi Gazete gerek üst yazılar gerekse Valiliğin resmi web sayfası aracılığıyla yapılmaktadır.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655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İzmir İl Sağlık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Müdürülüğü</w:t>
            </w:r>
            <w:proofErr w:type="spellEnd"/>
          </w:p>
        </w:tc>
        <w:tc>
          <w:tcPr>
            <w:tcW w:w="2976" w:type="dxa"/>
          </w:tcPr>
          <w:p w:rsidR="00E10D3B" w:rsidRDefault="00E10D3B" w:rsidP="00E10D3B">
            <w:pPr>
              <w:pStyle w:val="ListeParagraf"/>
              <w:numPr>
                <w:ilvl w:val="0"/>
                <w:numId w:val="14"/>
              </w:numPr>
              <w:ind w:left="295" w:hanging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226A99"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Bölümü’nün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mesleki zorunlu derslerinin klinik uygulamalarının yasal mevzuata uyumunun sağlanması</w:t>
            </w:r>
          </w:p>
          <w:p w:rsidR="00E10D3B" w:rsidRPr="00226A99" w:rsidRDefault="00E10D3B" w:rsidP="00E10D3B">
            <w:pPr>
              <w:pStyle w:val="ListeParagraf"/>
              <w:numPr>
                <w:ilvl w:val="0"/>
                <w:numId w:val="14"/>
              </w:numPr>
              <w:ind w:left="295" w:hanging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226A99"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akademik personelleri tarafından yürütülen bilimsel araştırmaların izinlerinin alınmasında prosedürlere uygunluğunun sağlanması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ED0F79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Bilimleri Fakültesi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ve duyuruların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takibi,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gerek Resmi Gazete gerek üst yazılar gerekse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 Sağlık Müdürlüğünün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resmi web sayfası aracılığıyla yapılmaktadır.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1380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İzmir Büyükşehir Belediyesi ve ilçe belediye başkanlıkları</w:t>
            </w:r>
          </w:p>
        </w:tc>
        <w:tc>
          <w:tcPr>
            <w:tcW w:w="2976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İl ve ilçe bazında;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uyum sürecinde irtibatta olunmasının sağlanması,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gerekliliklerin yerine getirilmesi.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tarafından faaliyet alanlarına yönelik mevzuat ve duyuruların takibi gerek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Gazete gerek </w:t>
            </w:r>
            <w:proofErr w:type="spell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üstyazılar</w:t>
            </w:r>
            <w:proofErr w:type="spell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gerekse ilgili belediyelerin resmi web sayfası aracılığıyla yapılmaktadır.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513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Belgelendirme Kuruluşu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Türk </w:t>
            </w:r>
            <w:proofErr w:type="spell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Standardları</w:t>
            </w:r>
            <w:proofErr w:type="spell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Enstitüsü (TSE)</w:t>
            </w: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ISO 9001 Kalite Yönetim Sistemine uyumun sağlanması,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Belgelendirme ve gözetim tetkiklerine hazırlık yapılması,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Standardların</w:t>
            </w:r>
            <w:proofErr w:type="spell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istediği yeterliliklerin yerine getirilmesi.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 ve Kalite Koordinatörlüğü tarafından tüm faaliyetlerin takibi yapılarak ISO 9001 Kalite Yönetim Sistemi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standardının gereklilikleri kurum genelinde koordine edilmekte ve tüm akademik ve idari birimler tarafından gereklilikler yerine getirilmektedir.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Kalite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</w:t>
            </w: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Sürekli</w:t>
            </w:r>
          </w:p>
        </w:tc>
      </w:tr>
      <w:tr w:rsidR="00E10D3B" w:rsidRPr="00547D96" w:rsidTr="00D516B4">
        <w:trPr>
          <w:trHeight w:val="645"/>
          <w:jc w:val="center"/>
        </w:trPr>
        <w:tc>
          <w:tcPr>
            <w:tcW w:w="1173" w:type="dxa"/>
            <w:vMerge w:val="restart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STK’lar</w:t>
            </w:r>
          </w:p>
        </w:tc>
        <w:tc>
          <w:tcPr>
            <w:tcW w:w="1826" w:type="dxa"/>
            <w:noWrap/>
          </w:tcPr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Hemşireler Derneği (THD)</w:t>
            </w:r>
          </w:p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Bölümünün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dernekle </w:t>
            </w:r>
            <w:proofErr w:type="gramStart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işbirliği</w:t>
            </w:r>
            <w:proofErr w:type="gramEnd"/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içerisinde olması,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Kamuoyunu bilgilendirme ve hesap verebilirliğin her alanda tüm paydaşlara yönelik gerçekleştirilmesi.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 ve Kurumsal İletişim Koordinatörlüğü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 tarafından ilgili STK tarafından talep edilen bilgiler sağlanmaktadır.</w:t>
            </w:r>
          </w:p>
        </w:tc>
        <w:tc>
          <w:tcPr>
            <w:tcW w:w="2168" w:type="dxa"/>
          </w:tcPr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Yönetim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Kurumsal İletişim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645"/>
          <w:jc w:val="center"/>
        </w:trPr>
        <w:tc>
          <w:tcPr>
            <w:tcW w:w="1173" w:type="dxa"/>
            <w:vMerge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26" w:type="dxa"/>
            <w:noWrap/>
          </w:tcPr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Eğitim Programları Değerlendirme ve Akreditasyon Derneği (HEPDAK)</w:t>
            </w:r>
          </w:p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Hemşirelik Bölümü eğitim programının akreditasyonu çerçevesinde başvuru, değerlendirme, denetleme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karar aşamalarında yükümlülüklerini yerine getirme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Hayır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 ve Kurumsal İletişim Koordinatörlüğü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akademik ve idari birimler tarafından ilgili STK tarafından talep edilen bilgiler sağlanmaktadır.</w:t>
            </w:r>
          </w:p>
        </w:tc>
        <w:tc>
          <w:tcPr>
            <w:tcW w:w="2168" w:type="dxa"/>
          </w:tcPr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Mevcut durumda yürütülen faaliyetlerin sürdürülebilirliğinin sağlanması.</w:t>
            </w:r>
          </w:p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Yönetim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Kurumsal İletişim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Sürekli</w:t>
            </w:r>
          </w:p>
        </w:tc>
      </w:tr>
      <w:tr w:rsidR="00E10D3B" w:rsidRPr="00547D96" w:rsidTr="00D516B4">
        <w:trPr>
          <w:trHeight w:val="645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26" w:type="dxa"/>
            <w:noWrap/>
          </w:tcPr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Hemşireler Derneği (ÖHDER)</w:t>
            </w:r>
          </w:p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öğrencilerinin mesleki bilincinin sağlanması için bilimsel ve sosyal platformlarda planlanan etkinliklerin desteklenmesi</w:t>
            </w:r>
          </w:p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Hemşirelik öğrencilerinin kişisel ve mesleki gelişimlerine katkı sağlanması </w:t>
            </w:r>
          </w:p>
        </w:tc>
        <w:tc>
          <w:tcPr>
            <w:tcW w:w="1083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 ve Kurumsal İletişim Koordinatörlüğü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 tarafından ilgili STK tarafından talep edilen bilgiler sağlanmaktadır</w:t>
            </w:r>
          </w:p>
        </w:tc>
        <w:tc>
          <w:tcPr>
            <w:tcW w:w="2168" w:type="dxa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</w:t>
            </w: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E10D3B" w:rsidRPr="00547D96" w:rsidTr="00D516B4">
        <w:trPr>
          <w:trHeight w:val="645"/>
          <w:jc w:val="center"/>
        </w:trPr>
        <w:tc>
          <w:tcPr>
            <w:tcW w:w="1173" w:type="dxa"/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26" w:type="dxa"/>
            <w:noWrap/>
          </w:tcPr>
          <w:p w:rsidR="00E10D3B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Eğitim Derneği (HEMED)</w:t>
            </w:r>
          </w:p>
        </w:tc>
        <w:tc>
          <w:tcPr>
            <w:tcW w:w="2976" w:type="dxa"/>
          </w:tcPr>
          <w:p w:rsidR="00E10D3B" w:rsidRPr="0058008E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-Hemşirelik eğitimi ile ilgili güncel bilgilerin paylaşılması ve müfredata ilişkin değişikliklerin yapılması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 ve Kurumsal İletişim Koordinatörlüğü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 tarafından ilgili STK tarafından talep edilen bilgiler sağlanmaktadır</w:t>
            </w:r>
          </w:p>
        </w:tc>
        <w:tc>
          <w:tcPr>
            <w:tcW w:w="2168" w:type="dxa"/>
          </w:tcPr>
          <w:p w:rsidR="00E10D3B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Yönetim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Kurumsal İletişim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Sürekli </w:t>
            </w:r>
          </w:p>
        </w:tc>
      </w:tr>
      <w:tr w:rsidR="00E10D3B" w:rsidRPr="00547D96" w:rsidTr="00D516B4">
        <w:trPr>
          <w:trHeight w:val="655"/>
          <w:jc w:val="center"/>
        </w:trPr>
        <w:tc>
          <w:tcPr>
            <w:tcW w:w="1173" w:type="dxa"/>
            <w:tcBorders>
              <w:bottom w:val="single" w:sz="4" w:space="0" w:color="000000"/>
            </w:tcBorders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Mevzuata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 belirlenen standartlara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eğitim-öğretim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faaliyetlerin gerçekleştirilmesi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Tüm hizmetlerin zamanında gerçekleştirilmesi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Sosyal sorumluluk şartlarına uygun hizmet gerçekleştirilmesi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Sosyal ve kültürel faaliyetlerin desteklenmesi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Dış taraf denetimlerine açık olmak</w:t>
            </w:r>
          </w:p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Tüm amaç ve hedeflere ait performans gerçekleşmelerinin şeffaf olarak paylaşılması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 sağlığı ve güvenliği önlemlerinin alınması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Hayır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Yönetim, Kurumsal İletişim Koordinatörlüğü, Öğrenci İşleri Daire Bşk. ve Sağlık Kültür ve Spor Daire Bşk.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 tarafından gerekli faaliyetler yürütülmekte olup öğrencilerden gelen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tüm geri bildirimlere yönelik aksiyon alınmaktadır.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Yönetim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Kurumsal İletişim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İşleri Daire Bşk.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Sağlık Kültür ve Spor Daire Bşk.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Sürekli</w:t>
            </w:r>
          </w:p>
        </w:tc>
      </w:tr>
      <w:tr w:rsidR="00E10D3B" w:rsidRPr="00547D96" w:rsidTr="00D516B4">
        <w:trPr>
          <w:trHeight w:val="1380"/>
          <w:jc w:val="center"/>
        </w:trPr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Çalışma ortamının huzurlu ve rahat çalışabilecek bir durumda olması,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Personele her açıdan değer verilen ve onu önemseyen bir kurum kültürü ve idari sistemin olması,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Yıllık izinlerde ve gerekli durumlarda kullanılacak izinlerde sorun yaşanmamasının sağlanması,</w:t>
            </w:r>
          </w:p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Günlük mola saatlerinin yeterli seviyede sunulması,</w:t>
            </w:r>
          </w:p>
          <w:p w:rsidR="00E10D3B" w:rsidRPr="00164F19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Motivasyon arttırıcı etkinliklerin ve grup organizasyonlarının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düzenli aralıklarla personel için düzenlenmesi,</w:t>
            </w:r>
          </w:p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Güvenli ve sağlıklı ortamda çalışma</w:t>
            </w:r>
          </w:p>
          <w:p w:rsidR="00E10D3B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Sunulan yemeklerin lezzetli ve çeşitli olmasının sağlanması </w:t>
            </w:r>
          </w:p>
          <w:p w:rsidR="00E10D3B" w:rsidRPr="00547D96" w:rsidRDefault="00E10D3B" w:rsidP="00E10D3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Kampüs ortamı ve yemek yenecek bölümlerin hijyenik olmasının sağlanması 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Evet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Üst Yönetim, Kurumsal İletişim Koordinatörlüğü, Sağlık Kültür ve Spor Daire Bşk. Ve Personel Daire Bşk. başta olmak üzere </w:t>
            </w:r>
            <w:r w:rsidRPr="00ED0F79">
              <w:rPr>
                <w:rFonts w:ascii="Times New Roman" w:hAnsi="Times New Roman" w:cs="Times New Roman"/>
                <w:sz w:val="18"/>
                <w:szCs w:val="18"/>
              </w:rPr>
              <w:t>Sağlık Bilimleri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Hemşirelik Bölümü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akademik ve idari birimler tarafından gerekli faaliyetler yürütülmekte olup personelden gelen tüm geri bildirimlere yönelik aksiyon alınmaktadır.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Yönetim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Kurumsal İletişim Koor.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Personel Daire Bşk.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Sağlık Kültür ve Spor Daire Bşk.</w:t>
            </w:r>
          </w:p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Sağlık Bilimleri Fakültesi Hemşirelik Bölümü </w:t>
            </w: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auto"/>
            </w:tcBorders>
          </w:tcPr>
          <w:p w:rsidR="00E10D3B" w:rsidRPr="00547D96" w:rsidRDefault="00E10D3B" w:rsidP="00D51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</w:tbl>
    <w:p w:rsidR="00392124" w:rsidRDefault="00392124" w:rsidP="00282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2124" w:rsidSect="00D21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73" w:rsidRDefault="00274673" w:rsidP="00A77A2A">
      <w:pPr>
        <w:spacing w:after="0" w:line="240" w:lineRule="auto"/>
      </w:pPr>
      <w:r>
        <w:separator/>
      </w:r>
    </w:p>
  </w:endnote>
  <w:endnote w:type="continuationSeparator" w:id="0">
    <w:p w:rsidR="00274673" w:rsidRDefault="00274673" w:rsidP="00A7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01" w:rsidRDefault="00F40201">
    <w:pPr>
      <w:pStyle w:val="AltBilgi"/>
    </w:pPr>
  </w:p>
  <w:p w:rsidR="00627BA0" w:rsidRDefault="00627BA0"/>
  <w:p w:rsidR="00392124" w:rsidRDefault="00282ECE">
    <w:pPr>
      <w:jc w:val="center"/>
    </w:pPr>
    <w:r>
      <w:rPr>
        <w:rFonts w:ascii="Times New Roman" w:hAnsi="Times New Roman"/>
        <w:b/>
        <w:color w:val="A33333"/>
        <w:sz w:val="20"/>
      </w:rPr>
      <w:t>Bu dokümanın güncelliği, elektronik ortamda "İKÇÜ Kalite Doküman Yönetim Sistemi (KDYS)" üzerinden takip edilmelidir.</w:t>
    </w:r>
  </w:p>
  <w:p w:rsidR="00627BA0" w:rsidRDefault="00627BA0"/>
  <w:p w:rsidR="00392124" w:rsidRDefault="00392124">
    <w:pPr>
      <w:jc w:val="center"/>
    </w:pPr>
  </w:p>
  <w:p w:rsidR="00000000" w:rsidRDefault="00274673"/>
  <w:p w:rsidR="00164C17" w:rsidRDefault="00274673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9" w:rsidRPr="00D21A0A" w:rsidRDefault="00337519" w:rsidP="00D21A0A">
    <w:pPr>
      <w:pStyle w:val="AltBilgi"/>
      <w:rPr>
        <w:rFonts w:ascii="Times New Roman" w:hAnsi="Times New Roman" w:cs="Times New Roman"/>
        <w:sz w:val="2"/>
        <w:szCs w:val="2"/>
      </w:rPr>
    </w:pPr>
  </w:p>
  <w:p w:rsidR="00643A2D" w:rsidRPr="00D21A0A" w:rsidRDefault="00643A2D" w:rsidP="00D21A0A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73" w:rsidRDefault="00274673" w:rsidP="00A77A2A">
      <w:pPr>
        <w:spacing w:after="0" w:line="240" w:lineRule="auto"/>
      </w:pPr>
      <w:r>
        <w:separator/>
      </w:r>
    </w:p>
  </w:footnote>
  <w:footnote w:type="continuationSeparator" w:id="0">
    <w:p w:rsidR="00274673" w:rsidRDefault="00274673" w:rsidP="00A7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0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10631"/>
      <w:gridCol w:w="2805"/>
    </w:tblGrid>
    <w:tr w:rsidR="002E7979" w:rsidRPr="002E7979" w:rsidTr="00282ECE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E7979" w:rsidRPr="002E7979" w:rsidRDefault="002E7979" w:rsidP="002E7979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E7979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2E7979">
            <w:rPr>
              <w:rFonts w:ascii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0698059" wp14:editId="7A6DBB42">
                <wp:extent cx="1028700" cy="574482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E7979" w:rsidRPr="002E7979" w:rsidRDefault="002E7979" w:rsidP="002E797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2E7979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2E7979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6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E7979" w:rsidRPr="002E7979" w:rsidRDefault="002E7979" w:rsidP="002E79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2E7979" w:rsidRPr="002E7979" w:rsidRDefault="002E7979" w:rsidP="002E79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2E7979" w:rsidRPr="002E7979" w:rsidRDefault="002E7979" w:rsidP="002E79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2E7979" w:rsidRPr="002E7979" w:rsidRDefault="00D21A0A" w:rsidP="002E797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Sağlık Bilimleri Fakültesi</w:t>
          </w: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E7979" w:rsidRPr="002E7979" w:rsidRDefault="002E7979" w:rsidP="002E797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7979">
            <w:rPr>
              <w:rFonts w:ascii="Arial" w:hAnsi="Arial" w:cs="Times New Roman"/>
              <w:noProof/>
              <w:sz w:val="20"/>
              <w:szCs w:val="20"/>
            </w:rPr>
            <w:drawing>
              <wp:inline distT="0" distB="0" distL="0" distR="0" wp14:anchorId="5EB5C684" wp14:editId="7E8D9363">
                <wp:extent cx="742950" cy="466725"/>
                <wp:effectExtent l="0" t="0" r="0" b="9525"/>
                <wp:docPr id="1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979" w:rsidRPr="002E7979" w:rsidTr="00282ECE">
      <w:trPr>
        <w:cantSplit/>
        <w:trHeight w:val="72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E7979" w:rsidRPr="002E7979" w:rsidRDefault="002E7979" w:rsidP="002E7979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63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E7979" w:rsidRPr="002E7979" w:rsidRDefault="00D21A0A" w:rsidP="002E79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HEMŞİRELİK BÖLÜMÜ İLGİLİ TARAFLARIN İHTİYAÇLARI VE BEKLENTİLERİ LİSTESİ</w:t>
          </w: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7979" w:rsidRPr="002E7979" w:rsidRDefault="00D21A0A" w:rsidP="000F690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Form</w:t>
          </w:r>
          <w:r w:rsidR="002E7979" w:rsidRPr="002E7979">
            <w:rPr>
              <w:rFonts w:ascii="Times New Roman" w:hAnsi="Times New Roman" w:cs="Times New Roman"/>
              <w:b/>
              <w:sz w:val="20"/>
              <w:szCs w:val="20"/>
            </w:rPr>
            <w:t xml:space="preserve"> No:</w:t>
          </w:r>
          <w:r w:rsidR="002E7979" w:rsidRPr="00D21A0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21A0A">
            <w:rPr>
              <w:rFonts w:ascii="Times New Roman" w:hAnsi="Times New Roman" w:cs="Times New Roman"/>
              <w:sz w:val="20"/>
              <w:szCs w:val="20"/>
            </w:rPr>
            <w:t>LS/SBF/09</w:t>
          </w:r>
        </w:p>
      </w:tc>
    </w:tr>
    <w:tr w:rsidR="002E7979" w:rsidRPr="002E7979" w:rsidTr="00282ECE">
      <w:trPr>
        <w:cantSplit/>
        <w:trHeight w:val="72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E7979" w:rsidRPr="002E7979" w:rsidRDefault="002E7979" w:rsidP="002E7979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631" w:type="dxa"/>
          <w:vMerge/>
          <w:tcBorders>
            <w:left w:val="single" w:sz="4" w:space="0" w:color="auto"/>
            <w:right w:val="single" w:sz="4" w:space="0" w:color="auto"/>
          </w:tcBorders>
        </w:tcPr>
        <w:p w:rsidR="002E7979" w:rsidRPr="002E7979" w:rsidRDefault="002E7979" w:rsidP="002E7979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7979" w:rsidRPr="002E7979" w:rsidRDefault="00D21A0A" w:rsidP="00D21A0A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Yayın Tarihi</w:t>
          </w:r>
          <w:r w:rsidR="002E7979" w:rsidRPr="002E7979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r w:rsidR="000F690B">
            <w:rPr>
              <w:rFonts w:ascii="Times New Roman" w:hAnsi="Times New Roman" w:cs="Times New Roman"/>
              <w:sz w:val="20"/>
              <w:szCs w:val="20"/>
            </w:rPr>
            <w:t>12.12.2022</w:t>
          </w:r>
        </w:p>
      </w:tc>
    </w:tr>
    <w:tr w:rsidR="002E7979" w:rsidRPr="002E7979" w:rsidTr="00282ECE">
      <w:trPr>
        <w:cantSplit/>
        <w:trHeight w:val="72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E7979" w:rsidRPr="002E7979" w:rsidRDefault="002E7979" w:rsidP="002E7979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631" w:type="dxa"/>
          <w:vMerge/>
          <w:tcBorders>
            <w:left w:val="single" w:sz="4" w:space="0" w:color="auto"/>
            <w:right w:val="single" w:sz="4" w:space="0" w:color="auto"/>
          </w:tcBorders>
        </w:tcPr>
        <w:p w:rsidR="002E7979" w:rsidRPr="002E7979" w:rsidRDefault="002E7979" w:rsidP="002E7979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7979" w:rsidRPr="002E7979" w:rsidRDefault="00D21A0A" w:rsidP="00D21A0A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. No/Tarih</w:t>
          </w:r>
          <w:r w:rsidR="002E7979" w:rsidRPr="002E797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: </w:t>
          </w:r>
          <w:r w:rsidR="000F690B">
            <w:rPr>
              <w:rFonts w:ascii="Times New Roman" w:hAnsi="Times New Roman" w:cs="Times New Roman"/>
              <w:color w:val="000000"/>
              <w:sz w:val="20"/>
              <w:szCs w:val="20"/>
            </w:rPr>
            <w:t>01/26.02.2024</w:t>
          </w:r>
        </w:p>
      </w:tc>
    </w:tr>
    <w:tr w:rsidR="002E7979" w:rsidRPr="002E7979" w:rsidTr="00282ECE">
      <w:trPr>
        <w:cantSplit/>
        <w:trHeight w:val="72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E7979" w:rsidRPr="002E7979" w:rsidRDefault="002E7979" w:rsidP="002E7979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631" w:type="dxa"/>
          <w:vMerge/>
          <w:tcBorders>
            <w:left w:val="single" w:sz="4" w:space="0" w:color="auto"/>
            <w:right w:val="single" w:sz="4" w:space="0" w:color="auto"/>
          </w:tcBorders>
        </w:tcPr>
        <w:p w:rsidR="002E7979" w:rsidRPr="002E7979" w:rsidRDefault="002E7979" w:rsidP="002E7979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7979" w:rsidRPr="002E7979" w:rsidRDefault="002E7979" w:rsidP="002E7979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32085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32085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2E797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523872" w:rsidRPr="00D21A0A" w:rsidRDefault="00523872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65B"/>
    <w:multiLevelType w:val="hybridMultilevel"/>
    <w:tmpl w:val="06E26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C6E"/>
    <w:multiLevelType w:val="hybridMultilevel"/>
    <w:tmpl w:val="0598FB36"/>
    <w:lvl w:ilvl="0" w:tplc="C88E7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A6FE4"/>
    <w:multiLevelType w:val="hybridMultilevel"/>
    <w:tmpl w:val="949A40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735B0"/>
    <w:multiLevelType w:val="hybridMultilevel"/>
    <w:tmpl w:val="F26E2B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958FD"/>
    <w:multiLevelType w:val="hybridMultilevel"/>
    <w:tmpl w:val="5220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1FA8"/>
    <w:multiLevelType w:val="hybridMultilevel"/>
    <w:tmpl w:val="726E6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6C54"/>
    <w:multiLevelType w:val="multilevel"/>
    <w:tmpl w:val="679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F430F"/>
    <w:multiLevelType w:val="hybridMultilevel"/>
    <w:tmpl w:val="A6BAC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3443"/>
    <w:multiLevelType w:val="hybridMultilevel"/>
    <w:tmpl w:val="49FE2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171"/>
    <w:multiLevelType w:val="hybridMultilevel"/>
    <w:tmpl w:val="E0CEFB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701F4"/>
    <w:multiLevelType w:val="hybridMultilevel"/>
    <w:tmpl w:val="A5F42DB0"/>
    <w:lvl w:ilvl="0" w:tplc="5C0EF8F6">
      <w:start w:val="63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EF48FD"/>
    <w:multiLevelType w:val="hybridMultilevel"/>
    <w:tmpl w:val="9A32E7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C25FD"/>
    <w:multiLevelType w:val="hybridMultilevel"/>
    <w:tmpl w:val="14766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C5A5D"/>
    <w:multiLevelType w:val="hybridMultilevel"/>
    <w:tmpl w:val="1464988C"/>
    <w:lvl w:ilvl="0" w:tplc="5C0EF8F6">
      <w:start w:val="6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3B"/>
    <w:rsid w:val="00037875"/>
    <w:rsid w:val="000C35B3"/>
    <w:rsid w:val="000F2EA3"/>
    <w:rsid w:val="000F690B"/>
    <w:rsid w:val="00106AC8"/>
    <w:rsid w:val="00106FCD"/>
    <w:rsid w:val="00123F24"/>
    <w:rsid w:val="001255F4"/>
    <w:rsid w:val="00132085"/>
    <w:rsid w:val="00153FEF"/>
    <w:rsid w:val="00166C65"/>
    <w:rsid w:val="00172517"/>
    <w:rsid w:val="001D1021"/>
    <w:rsid w:val="002410E1"/>
    <w:rsid w:val="00274673"/>
    <w:rsid w:val="00282ECE"/>
    <w:rsid w:val="00283EE5"/>
    <w:rsid w:val="00297528"/>
    <w:rsid w:val="002C182F"/>
    <w:rsid w:val="002D3688"/>
    <w:rsid w:val="002E7979"/>
    <w:rsid w:val="002F75E6"/>
    <w:rsid w:val="0033565B"/>
    <w:rsid w:val="00337519"/>
    <w:rsid w:val="00377265"/>
    <w:rsid w:val="00392124"/>
    <w:rsid w:val="003971C1"/>
    <w:rsid w:val="003B1F4A"/>
    <w:rsid w:val="003F7596"/>
    <w:rsid w:val="0040630E"/>
    <w:rsid w:val="00467FCD"/>
    <w:rsid w:val="004C70FC"/>
    <w:rsid w:val="004E5C18"/>
    <w:rsid w:val="004F286E"/>
    <w:rsid w:val="00523872"/>
    <w:rsid w:val="0056695E"/>
    <w:rsid w:val="00573C9D"/>
    <w:rsid w:val="00586AEB"/>
    <w:rsid w:val="005C6F46"/>
    <w:rsid w:val="005D3CC0"/>
    <w:rsid w:val="005E5EE9"/>
    <w:rsid w:val="00624524"/>
    <w:rsid w:val="00627BA0"/>
    <w:rsid w:val="00643A2D"/>
    <w:rsid w:val="00676245"/>
    <w:rsid w:val="006D0A2E"/>
    <w:rsid w:val="006F5529"/>
    <w:rsid w:val="0073014E"/>
    <w:rsid w:val="00741668"/>
    <w:rsid w:val="007461A2"/>
    <w:rsid w:val="007D5F92"/>
    <w:rsid w:val="00806F85"/>
    <w:rsid w:val="00840EB6"/>
    <w:rsid w:val="00841E1B"/>
    <w:rsid w:val="0087019E"/>
    <w:rsid w:val="00882A15"/>
    <w:rsid w:val="00884865"/>
    <w:rsid w:val="00891E30"/>
    <w:rsid w:val="008E162E"/>
    <w:rsid w:val="00926D94"/>
    <w:rsid w:val="0093066E"/>
    <w:rsid w:val="009471D6"/>
    <w:rsid w:val="009652BF"/>
    <w:rsid w:val="0097551C"/>
    <w:rsid w:val="00991C1A"/>
    <w:rsid w:val="009C1130"/>
    <w:rsid w:val="009C3806"/>
    <w:rsid w:val="009D5872"/>
    <w:rsid w:val="00A17BEA"/>
    <w:rsid w:val="00A75DDB"/>
    <w:rsid w:val="00A77A2A"/>
    <w:rsid w:val="00A94785"/>
    <w:rsid w:val="00AC209C"/>
    <w:rsid w:val="00B57924"/>
    <w:rsid w:val="00B940DA"/>
    <w:rsid w:val="00B96D19"/>
    <w:rsid w:val="00BB084C"/>
    <w:rsid w:val="00BE27D7"/>
    <w:rsid w:val="00C75ECD"/>
    <w:rsid w:val="00C838DC"/>
    <w:rsid w:val="00C9561F"/>
    <w:rsid w:val="00CB21D3"/>
    <w:rsid w:val="00D1325C"/>
    <w:rsid w:val="00D16AFE"/>
    <w:rsid w:val="00D21A0A"/>
    <w:rsid w:val="00D7432A"/>
    <w:rsid w:val="00D8161C"/>
    <w:rsid w:val="00D933E0"/>
    <w:rsid w:val="00DC3339"/>
    <w:rsid w:val="00DD05D6"/>
    <w:rsid w:val="00E06CFC"/>
    <w:rsid w:val="00E10D3B"/>
    <w:rsid w:val="00E17BA3"/>
    <w:rsid w:val="00E81621"/>
    <w:rsid w:val="00EC1A84"/>
    <w:rsid w:val="00F06CC6"/>
    <w:rsid w:val="00F40201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ED82F-A553-4B26-BC89-31983F3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D3B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A2A"/>
  </w:style>
  <w:style w:type="paragraph" w:styleId="AltBilgi">
    <w:name w:val="footer"/>
    <w:basedOn w:val="Normal"/>
    <w:link w:val="AltBilgiChar"/>
    <w:uiPriority w:val="99"/>
    <w:unhideWhenUsed/>
    <w:rsid w:val="00A7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A2A"/>
  </w:style>
  <w:style w:type="paragraph" w:styleId="BalonMetni">
    <w:name w:val="Balloon Text"/>
    <w:basedOn w:val="Normal"/>
    <w:link w:val="BalonMetniChar"/>
    <w:uiPriority w:val="99"/>
    <w:semiHidden/>
    <w:unhideWhenUsed/>
    <w:rsid w:val="00F4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01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D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A75DDB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75D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4842-8B67-41BB-809B-6C78D2D7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DELL 9030</cp:lastModifiedBy>
  <cp:revision>2</cp:revision>
  <cp:lastPrinted>2018-02-20T11:37:00Z</cp:lastPrinted>
  <dcterms:created xsi:type="dcterms:W3CDTF">2024-10-14T14:00:00Z</dcterms:created>
  <dcterms:modified xsi:type="dcterms:W3CDTF">2024-10-14T14:00:00Z</dcterms:modified>
</cp:coreProperties>
</file>